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7"/>
        <w:gridCol w:w="4275"/>
        <w:gridCol w:w="3119"/>
      </w:tblGrid>
      <w:tr>
        <w:trPr>
          <w:trHeight w:val="263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28"/>
                <w:szCs w:val="28"/>
              </w:rPr>
            </w:pPr>
            <w:r>
              <w:rPr>
                <w:rFonts w:cs="Arial" w:ascii="Arial" w:hAnsi="Arial"/>
                <w:b/>
                <w:i/>
                <w:sz w:val="28"/>
                <w:szCs w:val="28"/>
              </w:rPr>
              <w:t>DANE OGÓLNE</w:t>
            </w:r>
          </w:p>
        </w:tc>
      </w:tr>
      <w:tr>
        <w:trPr>
          <w:trHeight w:val="36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Nazwa wyrobu</w:t>
            </w: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CIEPŁE LODY Z POLEWĄ  „ ŚMIESZKI ”  20 szt                  </w:t>
            </w:r>
          </w:p>
        </w:tc>
      </w:tr>
      <w:tr>
        <w:trPr>
          <w:trHeight w:val="157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 dostawcy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Z.P.H.U  WAN-VIT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Wanda Grzebyta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ul. 3 Maja 11 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88-430 Janowiec Wlkp.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kontakt: 52/ 30-23-286 ,+48 607 402 396, English +48 601 831 863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hyperlink r:id="rId2">
              <w:r>
                <w:rPr>
                  <w:rStyle w:val="Czeinternetowe"/>
                  <w:rFonts w:cs="Arial" w:ascii="Arial" w:hAnsi="Arial"/>
                  <w:b/>
                </w:rPr>
                <w:t>info@wan-vit.pl</w:t>
              </w:r>
            </w:hyperlink>
            <w:r>
              <w:rPr>
                <w:rFonts w:cs="Arial" w:ascii="Arial" w:hAnsi="Arial"/>
                <w:b/>
              </w:rPr>
              <w:t xml:space="preserve">  , www.wan-vit.com.pl</w:t>
            </w:r>
          </w:p>
        </w:tc>
      </w:tr>
      <w:tr>
        <w:trPr>
          <w:trHeight w:val="802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Osoba odpowiedzialna za produkcję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Arkadiusz Grzebyta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+48 607-217-180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arek@wan-vit.pl</w:t>
            </w:r>
          </w:p>
        </w:tc>
      </w:tr>
      <w:tr>
        <w:trPr>
          <w:trHeight w:val="48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Posiadanie  systemów jakości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HACCP</w:t>
            </w:r>
          </w:p>
        </w:tc>
      </w:tr>
      <w:tr>
        <w:trPr>
          <w:trHeight w:val="272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 xml:space="preserve">OPIS  PRODUKTU </w:t>
            </w:r>
          </w:p>
        </w:tc>
      </w:tr>
      <w:tr>
        <w:trPr>
          <w:trHeight w:val="263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Cechy organoleptyczne</w:t>
            </w:r>
          </w:p>
        </w:tc>
      </w:tr>
      <w:tr>
        <w:trPr>
          <w:trHeight w:val="340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Wygląd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Kubeczek waflowy wypełniony napowietrzoną masą i oblany polewą</w:t>
            </w:r>
          </w:p>
        </w:tc>
      </w:tr>
      <w:tr>
        <w:trPr>
          <w:trHeight w:val="585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Barwa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Wafla- jasnokremowa , masy – biała, polewy jasnoróżowa, jasnokremowa, żółta,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Ciemnobrązowa,</w:t>
            </w:r>
          </w:p>
        </w:tc>
      </w:tr>
      <w:tr>
        <w:trPr>
          <w:trHeight w:val="340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Smak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Charakterystyczny słodki,  zależny od koloru polewy bez obcych posmaków</w:t>
            </w:r>
          </w:p>
        </w:tc>
      </w:tr>
      <w:tr>
        <w:trPr>
          <w:trHeight w:val="340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Zapach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Charakterystyczny aromatyczny, słodki zależny od składników bez obcych zapachów</w:t>
            </w:r>
          </w:p>
        </w:tc>
      </w:tr>
      <w:tr>
        <w:trPr>
          <w:trHeight w:val="493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Konsystencja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Właściwa dla produktu wafla-chrupka, krucha, masy- jednolita gładka, lekko lepka, polewy- lekko twarda, łamliwa</w:t>
            </w:r>
          </w:p>
        </w:tc>
      </w:tr>
      <w:tr>
        <w:trPr>
          <w:trHeight w:val="299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Zanieczyszczenia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Brak </w:t>
            </w:r>
          </w:p>
        </w:tc>
      </w:tr>
      <w:tr>
        <w:trPr>
          <w:trHeight w:val="182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Parametry mikrobiologiczne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pPr w:bottomFromText="0" w:horzAnchor="margin" w:leftFromText="141" w:rightFromText="141" w:tblpX="-152" w:tblpY="-112" w:topFromText="0" w:vertAnchor="text"/>
              <w:tblW w:w="7366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623"/>
              <w:gridCol w:w="2189"/>
              <w:gridCol w:w="1843"/>
              <w:gridCol w:w="2710"/>
            </w:tblGrid>
            <w:tr>
              <w:trPr>
                <w:trHeight w:val="386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Badana cecha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Metoda badania wg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Wyniki badań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Salmonella w 25 g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>PN-EN ISO 6579-1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nie wykryto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w 25 g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Listeria monocytogenes w 25 g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>PN-ISO 11290-2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&lt; 1,0 x 10¹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Bakterie z grupy Enterobacteriaceae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>PN- ISO 21528-2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&lt; 1,0 x 10¹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9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Składniki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Cukier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Woda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Syrop glukozowy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Białko jaja kurzego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Substancja utrzymująca wilgoć: sorbitol, inulina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Regulator kwasowości: kawas cytrynowy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Aromaty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Wafel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Kolor polewy w zależności od wzoru ciepłych  lodów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Polewa biała – BAŁWANKI , KOTY, ZAJĄCE, BARANKI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Polewa różowa – ŚWINKI, MIKOŁAJE, BIEDRONKI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Polewa żółta - KURCZAKI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Polewa kakaowa - MISIE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Obecność alergenów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u w:val="single"/>
              </w:rPr>
              <w:t>soja</w:t>
            </w:r>
            <w:r>
              <w:rPr>
                <w:rFonts w:eastAsia="Calibri" w:cs="Arial" w:ascii="Arial" w:hAnsi="Arial"/>
              </w:rPr>
              <w:t xml:space="preserve"> -lecytyna </w:t>
            </w:r>
            <w:r>
              <w:rPr>
                <w:rFonts w:cs="Arial" w:ascii="Arial" w:hAnsi="Arial"/>
              </w:rPr>
              <w:t xml:space="preserve">z soi, </w:t>
            </w:r>
            <w:r>
              <w:rPr>
                <w:rFonts w:cs="Arial" w:ascii="Arial" w:hAnsi="Arial"/>
                <w:u w:val="single"/>
              </w:rPr>
              <w:t>serwatka</w:t>
            </w:r>
            <w:r>
              <w:rPr>
                <w:rFonts w:cs="Arial" w:ascii="Arial" w:hAnsi="Arial"/>
              </w:rPr>
              <w:t xml:space="preserve"> w proszku z mleka (laktoza),</w:t>
            </w:r>
            <w:r>
              <w:rPr>
                <w:rFonts w:cs="Arial" w:ascii="Arial" w:hAnsi="Arial"/>
                <w:u w:val="single"/>
              </w:rPr>
              <w:t xml:space="preserve"> jaja</w:t>
            </w:r>
            <w:r>
              <w:rPr>
                <w:rFonts w:cs="Arial" w:ascii="Arial" w:hAnsi="Arial"/>
              </w:rPr>
              <w:t xml:space="preserve">,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mąka i błonnik </w:t>
            </w:r>
            <w:r>
              <w:rPr>
                <w:rFonts w:cs="Arial" w:ascii="Arial" w:hAnsi="Arial"/>
                <w:u w:val="single"/>
              </w:rPr>
              <w:t xml:space="preserve">pszenny </w:t>
            </w:r>
            <w:r>
              <w:rPr>
                <w:rFonts w:cs="Arial" w:ascii="Arial" w:hAnsi="Arial"/>
              </w:rPr>
              <w:t xml:space="preserve">(gluten), 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może zawierać: orzeszki </w:t>
            </w:r>
            <w:r>
              <w:rPr>
                <w:rFonts w:cs="Arial" w:ascii="Arial" w:hAnsi="Arial"/>
                <w:u w:val="single"/>
              </w:rPr>
              <w:t>arachidowe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u w:val="single"/>
              </w:rPr>
              <w:t>orzechy laskowe, sezam.</w:t>
            </w:r>
          </w:p>
        </w:tc>
      </w:tr>
      <w:tr>
        <w:trPr>
          <w:trHeight w:val="26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Obecność składników GMO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Brak.</w:t>
            </w:r>
          </w:p>
        </w:tc>
      </w:tr>
      <w:tr>
        <w:trPr>
          <w:trHeight w:val="325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Wartość odżywcza produktu w 100 g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pPr w:bottomFromText="0" w:horzAnchor="margin" w:leftFromText="141" w:rightFromText="141" w:tblpX="-147" w:tblpY="-175" w:topFromText="0" w:vertAnchor="text"/>
              <w:tblW w:w="7366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390"/>
              <w:gridCol w:w="2975"/>
            </w:tblGrid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Wartość energetyczna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 xml:space="preserve">  </w:t>
                  </w:r>
                  <w:r>
                    <w:rPr/>
                    <w:t xml:space="preserve">1720  kJ 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Tłuszcz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 xml:space="preserve">411 kcal 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 tym kwasy tłuszczowe nasycone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9,8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Węglowodany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0,6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 tym cukry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67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Błonnik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59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Białko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0,64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Sól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4,4 g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Termin przydatności , warunki przechowywania i transportu</w:t>
            </w:r>
          </w:p>
        </w:tc>
      </w:tr>
      <w:tr>
        <w:trPr>
          <w:trHeight w:val="27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Termin przydatności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  miesiące</w:t>
            </w:r>
          </w:p>
        </w:tc>
      </w:tr>
      <w:tr>
        <w:trPr>
          <w:trHeight w:val="41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Warunki przechowywania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Przechowywać w temperaturze od 5 do 20 stopni Celsjusza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suchym nienasłonecznionym miejscu</w:t>
            </w:r>
          </w:p>
        </w:tc>
      </w:tr>
      <w:tr>
        <w:trPr>
          <w:trHeight w:val="368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Warunki transportu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Opakowanie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Style w:val="Tabela-Siatka"/>
              <w:tblpPr w:bottomFromText="0" w:horzAnchor="page" w:leftFromText="141" w:rightFromText="141" w:tblpX="1327" w:tblpY="334" w:topFromText="0" w:vertAnchor="margin"/>
              <w:tblW w:w="7444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11"/>
              <w:gridCol w:w="2693"/>
              <w:gridCol w:w="2340"/>
            </w:tblGrid>
            <w:tr>
              <w:trPr>
                <w:trHeight w:val="425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Warunki transportu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Temperatura 5-20 ⁰C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Waga / wysokość</w:t>
                  </w:r>
                </w:p>
              </w:tc>
            </w:tr>
            <w:tr>
              <w:trPr>
                <w:trHeight w:val="302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Opakowanie jednostkowe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 xml:space="preserve">20 szt lodów 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0,90  kg netto</w:t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1,125 kg brutto</w:t>
                  </w:r>
                </w:p>
              </w:tc>
            </w:tr>
            <w:tr>
              <w:trPr/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Pakowanie jednostkowe karton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Dług. 38,5 cm /szer. 29,5 cm /  wys. 11 cm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0,225 kg</w:t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</w:r>
                </w:p>
              </w:tc>
            </w:tr>
            <w:tr>
              <w:trPr/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Kartonów na palecie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 xml:space="preserve"> </w:t>
                  </w: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8 op. na warstwie                   x 15 warstw 120 op.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cs="Arial" w:ascii="Arial" w:hAnsi="Arial"/>
                      <w:kern w:val="0"/>
                      <w:lang w:val="en-US" w:bidi="ar-SA"/>
                    </w:rPr>
                    <w:t>108  kg netto /165 cm</w:t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en-US" w:bidi="ar-SA"/>
                    </w:rPr>
                    <w:t>135  kg brutto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Paleta jednorazowa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120 cm x 80 cm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15 kg           /  15 cm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Razem kartony z paletą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Dł 120 cm / szer. 80 cm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150 kg brutto/180 cm</w:t>
                  </w:r>
                </w:p>
              </w:tc>
            </w:tr>
            <w:tr>
              <w:trPr>
                <w:trHeight w:val="506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Opakowanie transportowe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Paleta+ narożniki tekturowe+ folia strech+ taśma kontrolna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153 kg brutto/ 180 cm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  <w:t>Transport drogowy – zlecony lub własny</w:t>
              <w:tab/>
            </w:r>
          </w:p>
        </w:tc>
      </w:tr>
      <w:tr>
        <w:trPr>
          <w:trHeight w:val="852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Oznakowanie i kodowanie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Kody  EAN 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ŚWINKI- 5907502701099 ,  BIEDRONKI – 5907502701440 ,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KOTY - 5907502701112 , BAŁWANKI – 5907502701129 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ZAJĄCE – 5907502701303 , BARANKI – 5907502701150 ,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KURKI – 5907502701143 , MISIE – 5907502701105 ,</w:t>
            </w:r>
          </w:p>
        </w:tc>
      </w:tr>
      <w:tr>
        <w:trPr>
          <w:trHeight w:val="26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Termin przydatności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miesiące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6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Partia produkcyjna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Data minimalnej trwałości jest numerem partii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29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Arial" w:ascii="Arial" w:hAnsi="Arial"/>
                <w:b/>
                <w:i/>
                <w:sz w:val="28"/>
                <w:szCs w:val="28"/>
              </w:rPr>
              <w:t>ZATWIERDZENIE</w:t>
            </w:r>
          </w:p>
        </w:tc>
      </w:tr>
      <w:tr>
        <w:trPr>
          <w:trHeight w:val="263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Towar powinien, bez wyjątków być dostarczony na czystych paletach z tworzywa sztucznego lub drewnianych zabezpieczonych folią</w:t>
            </w:r>
          </w:p>
        </w:tc>
      </w:tr>
      <w:tr>
        <w:trPr>
          <w:trHeight w:val="263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Producent / dystrybutor towaru potwierdza, że jego towar spełnia wszystkie normy  i wytyczne prawa unijnego oraz krajowego wg obowiązujących przepisów.  </w:t>
            </w:r>
          </w:p>
        </w:tc>
      </w:tr>
    </w:tbl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1"/>
        <w:gridCol w:w="6684"/>
      </w:tblGrid>
      <w:tr>
        <w:trPr>
          <w:trHeight w:val="547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 sporządzenia specyfikacji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6"/>
              <w:widowControl w:val="false"/>
              <w:numPr>
                <w:ilvl w:val="5"/>
                <w:numId w:val="2"/>
              </w:numPr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2020.10.20</w:t>
            </w:r>
          </w:p>
        </w:tc>
      </w:tr>
      <w:tr>
        <w:trPr>
          <w:trHeight w:val="547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Pieczątka dostawcy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ind w:left="360" w:hanging="36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headerReference w:type="first" r:id="rId3"/>
      <w:type w:val="nextPage"/>
      <w:pgSz w:w="11906" w:h="16838"/>
      <w:pgMar w:left="1418" w:right="1418" w:header="709" w:top="709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-571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2835"/>
      <w:gridCol w:w="4677"/>
      <w:gridCol w:w="2694"/>
    </w:tblGrid>
    <w:tr>
      <w:trPr>
        <w:trHeight w:val="416" w:hRule="atLeast"/>
        <w:cantSplit w:val="true"/>
      </w:trPr>
      <w:tc>
        <w:tcPr>
          <w:tcW w:w="2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1674495" cy="384175"/>
                <wp:effectExtent l="0" t="0" r="0" b="0"/>
                <wp:docPr id="1" name="Obraz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495" cy="38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jc w:val="center"/>
            <w:rPr>
              <w:rFonts w:ascii="Arial" w:hAnsi="Arial" w:cs="Arial"/>
              <w:b/>
              <w:b/>
              <w:sz w:val="28"/>
              <w:szCs w:val="28"/>
            </w:rPr>
          </w:pPr>
          <w:r>
            <w:rPr>
              <w:rFonts w:cs="Arial" w:ascii="Arial" w:hAnsi="Arial"/>
              <w:b/>
              <w:sz w:val="28"/>
              <w:szCs w:val="28"/>
            </w:rPr>
            <w:t>Specyfikacja wyrobu gotowego</w:t>
          </w:r>
        </w:p>
        <w:p>
          <w:pPr>
            <w:pStyle w:val="Gwka"/>
            <w:widowControl w:val="false"/>
            <w:jc w:val="center"/>
            <w:rPr>
              <w:rFonts w:ascii="Arial" w:hAnsi="Arial" w:cs="Arial"/>
              <w:b/>
              <w:b/>
              <w:sz w:val="28"/>
              <w:szCs w:val="28"/>
            </w:rPr>
          </w:pPr>
          <w:r>
            <w:rPr>
              <w:rFonts w:cs="Arial" w:ascii="Arial" w:hAnsi="Arial"/>
              <w:b/>
              <w:sz w:val="28"/>
              <w:szCs w:val="28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Wersja: 04</w:t>
          </w:r>
        </w:p>
      </w:tc>
    </w:tr>
    <w:tr>
      <w:trPr>
        <w:trHeight w:val="282" w:hRule="atLeast"/>
        <w:cantSplit w:val="true"/>
      </w:trPr>
      <w:tc>
        <w:tcPr>
          <w:tcW w:w="28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467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Data wydania:   2020.10.20</w:t>
          </w:r>
        </w:p>
      </w:tc>
    </w:tr>
    <w:tr>
      <w:trPr>
        <w:trHeight w:val="314" w:hRule="atLeast"/>
        <w:cantSplit w:val="true"/>
      </w:trPr>
      <w:tc>
        <w:tcPr>
          <w:tcW w:w="28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467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Obowiązuje do: 2021.10.20</w:t>
          </w:r>
        </w:p>
      </w:tc>
    </w:tr>
    <w:tr>
      <w:trPr>
        <w:trHeight w:val="389" w:hRule="atLeast"/>
        <w:cantSplit w:val="true"/>
      </w:trPr>
      <w:tc>
        <w:tcPr>
          <w:tcW w:w="28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467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 xml:space="preserve">Strona </w:t>
          </w:r>
          <w:r>
            <w:rPr>
              <w:rFonts w:cs="Arial" w:ascii="Arial" w:hAnsi="Arial"/>
              <w:b/>
              <w:bCs/>
            </w:rPr>
            <w:fldChar w:fldCharType="begin"/>
          </w:r>
          <w:r>
            <w:rPr>
              <w:b/>
              <w:bCs/>
              <w:rFonts w:cs="Arial" w:ascii="Arial" w:hAnsi="Arial"/>
            </w:rPr>
            <w:instrText> PAGE </w:instrText>
          </w:r>
          <w:r>
            <w:rPr>
              <w:b/>
              <w:bCs/>
              <w:rFonts w:cs="Arial" w:ascii="Arial" w:hAnsi="Arial"/>
            </w:rPr>
            <w:fldChar w:fldCharType="separate"/>
          </w:r>
          <w:r>
            <w:rPr>
              <w:b/>
              <w:bCs/>
              <w:rFonts w:cs="Arial" w:ascii="Arial" w:hAnsi="Arial"/>
            </w:rPr>
            <w:t>1</w:t>
          </w:r>
          <w:r>
            <w:rPr>
              <w:b/>
              <w:bCs/>
              <w:rFonts w:cs="Arial" w:ascii="Arial" w:hAnsi="Arial"/>
            </w:rPr>
            <w:fldChar w:fldCharType="end"/>
          </w:r>
          <w:r>
            <w:rPr>
              <w:rFonts w:cs="Arial" w:ascii="Arial" w:hAnsi="Arial"/>
            </w:rPr>
            <w:t xml:space="preserve"> z </w:t>
          </w:r>
          <w:r>
            <w:rPr>
              <w:rFonts w:cs="Arial" w:ascii="Arial" w:hAnsi="Arial"/>
              <w:b/>
              <w:bCs/>
            </w:rPr>
            <w:t>2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15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091518"/>
    <w:pPr>
      <w:keepNext w:val="true"/>
      <w:numPr>
        <w:ilvl w:val="5"/>
        <w:numId w:val="1"/>
      </w:numPr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091518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09151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9151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09151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5a58a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91518"/>
    <w:pPr/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915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0915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0915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93e3c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d77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20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an-vit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LibreOffice/7.0.3.1$Windows_X86_64 LibreOffice_project/d7547858d014d4cf69878db179d326fc3483e082</Application>
  <Pages>2</Pages>
  <Words>522</Words>
  <Characters>2976</Characters>
  <CharactersWithSpaces>3446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2020-09-24T12:19:00Z</dcterms:created>
  <dc:creator>WAN-VIT</dc:creator>
  <dc:description/>
  <dc:language>pl-PL</dc:language>
  <cp:lastModifiedBy/>
  <dcterms:modified xsi:type="dcterms:W3CDTF">2020-11-26T08:55:50Z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